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40" w:lineRule="exact"/>
        <w:jc w:val="center"/>
        <w:textAlignment w:val="auto"/>
        <w:rPr>
          <w:rFonts w:hint="eastAsia" w:ascii="方正粗宋简体" w:hAnsi="方正粗宋简体" w:eastAsia="方正粗宋简体" w:cs="方正粗宋简体"/>
          <w:b/>
          <w:bCs/>
          <w:color w:val="525353"/>
          <w:sz w:val="44"/>
          <w:szCs w:val="44"/>
        </w:rPr>
      </w:pPr>
      <w:r>
        <w:rPr>
          <w:rFonts w:hint="eastAsia" w:ascii="方正粗宋简体" w:hAnsi="方正粗宋简体" w:eastAsia="方正粗宋简体" w:cs="方正粗宋简体"/>
          <w:b w:val="0"/>
          <w:bCs w:val="0"/>
          <w:color w:val="525353"/>
          <w:kern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方正粗宋简体" w:hAnsi="方正粗宋简体" w:eastAsia="方正粗宋简体" w:cs="方正粗宋简体"/>
          <w:b w:val="0"/>
          <w:bCs w:val="0"/>
          <w:color w:val="525353"/>
          <w:kern w:val="0"/>
          <w:sz w:val="44"/>
          <w:szCs w:val="44"/>
          <w:shd w:val="clear" w:fill="FFFFFF"/>
        </w:rPr>
        <w:t>中国（广西）自由贸易试验区崇左片区关于印发广西深化“证照分离”改革全覆盖工作实施方案的通知》政策解读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52535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</w:rPr>
        <w:t>为进一步深化行政审批制度改革，推进政府职能转变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eastAsia="zh-CN"/>
        </w:rPr>
        <w:t>，中国（广西）自由贸易试验区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val="en-US" w:eastAsia="zh-CN"/>
        </w:rPr>
        <w:t>崇左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eastAsia="zh-CN"/>
        </w:rPr>
        <w:t>片区管理委员会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仿宋" w:hAnsi="仿宋" w:eastAsia="仿宋" w:cs="仿宋"/>
          <w:color w:val="525353"/>
          <w:sz w:val="32"/>
          <w:szCs w:val="32"/>
        </w:rPr>
        <w:t>《广西深化“证照分离”改革全覆盖工作实施方案》桂政发〔2021〕29号</w:t>
      </w:r>
      <w:r>
        <w:rPr>
          <w:rFonts w:hint="eastAsia" w:ascii="仿宋" w:hAnsi="仿宋" w:eastAsia="仿宋" w:cs="仿宋"/>
          <w:color w:val="525353"/>
          <w:sz w:val="32"/>
          <w:szCs w:val="32"/>
          <w:lang w:val="en-US" w:eastAsia="zh-CN"/>
        </w:rPr>
        <w:t>，在广西自贸试验区试点取消14项中央层面设定的涉企经营许可事项，将15项中央层面设定的涉企经营许可事项改为备案管理，对44项中央层面设定的涉企经营许可事项实行告知承诺。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</w:rPr>
        <w:t>对取消和调整的行政许可等事项，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eastAsia="zh-CN"/>
        </w:rPr>
        <w:t>中国（广西）自由贸易试验区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val="en-US" w:eastAsia="zh-CN"/>
        </w:rPr>
        <w:t>崇左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  <w:lang w:eastAsia="zh-CN"/>
        </w:rPr>
        <w:t>片区管理委员会</w:t>
      </w:r>
      <w:r>
        <w:rPr>
          <w:rFonts w:hint="eastAsia" w:ascii="仿宋" w:hAnsi="仿宋" w:eastAsia="仿宋" w:cs="仿宋"/>
          <w:color w:val="525353"/>
          <w:kern w:val="0"/>
          <w:sz w:val="32"/>
          <w:szCs w:val="32"/>
          <w:shd w:val="clear" w:fill="FFFFFF"/>
        </w:rPr>
        <w:t>要及时调整行政许可事项目录和行政审批标准化目录库，同时要加强业务培训和检查指导，确保调整到位、监管到位。提高行政审批质量和效率，不断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</w:rPr>
        <w:t>提高政府管理科学化、规范化、法治化水平，为我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  <w:lang w:val="en-US" w:eastAsia="zh-CN"/>
        </w:rPr>
        <w:t>片区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</w:rPr>
        <w:t>提供高效优质的营商环境。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  <w:lang w:val="en-US" w:eastAsia="zh-CN" w:bidi="ar"/>
        </w:rPr>
        <w:t xml:space="preserve">附件：广西壮族自治区人民政府关于印发广西（桂政发〔2021〕29号）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2021年9月9日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MWFjYTg3Y2Q2YzNjZDMwMzViOWJkNGY2OWJkZDgifQ=="/>
  </w:docVars>
  <w:rsids>
    <w:rsidRoot w:val="5ED13B83"/>
    <w:rsid w:val="0D9408C2"/>
    <w:rsid w:val="2DF80288"/>
    <w:rsid w:val="5ED13B83"/>
    <w:rsid w:val="709C4FDB"/>
    <w:rsid w:val="7B3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434242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434242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400</Characters>
  <Lines>0</Lines>
  <Paragraphs>0</Paragraphs>
  <TotalTime>5</TotalTime>
  <ScaleCrop>false</ScaleCrop>
  <LinksUpToDate>false</LinksUpToDate>
  <CharactersWithSpaces>436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2022-07-07T14:11:00Z</dcterms:created>
  <dc:creator>Administrator</dc:creator>
  <cp:lastModifiedBy>爱吃猫的鱼</cp:lastModifiedBy>
  <dcterms:modified xsi:type="dcterms:W3CDTF">2022-07-08T01:13:41Z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AD5D099539D147D8AAA48AEBD0247854</vt:lpwstr>
  </property>
</Properties>
</file>