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7A5BC">
      <w:pPr>
        <w:keepNext w:val="0"/>
        <w:keepLines w:val="0"/>
        <w:pageBreakBefore w:val="0"/>
        <w:widowControl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35DD027A">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广西凭祥产业园东盟国际冷链装备全产业链智造园配套基础设施一期工程(一阶段)招投标核准意见表</w:t>
      </w:r>
      <w:bookmarkEnd w:id="0"/>
    </w:p>
    <w:tbl>
      <w:tblPr>
        <w:tblStyle w:val="4"/>
        <w:tblW w:w="10037"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188"/>
        <w:gridCol w:w="1062"/>
        <w:gridCol w:w="1150"/>
        <w:gridCol w:w="1138"/>
        <w:gridCol w:w="1162"/>
        <w:gridCol w:w="1200"/>
        <w:gridCol w:w="1500"/>
      </w:tblGrid>
      <w:tr w14:paraId="3420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noWrap w:val="0"/>
            <w:vAlign w:val="top"/>
          </w:tcPr>
          <w:p w14:paraId="6622F3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kern w:val="2"/>
                <w:sz w:val="28"/>
                <w:szCs w:val="28"/>
                <w:lang w:val="en-US" w:eastAsia="zh-CN" w:bidi="ar-SA"/>
              </w:rPr>
            </w:pPr>
            <w:r>
              <w:rPr>
                <w:rFonts w:hint="default" w:ascii="仿宋_GB2312" w:hAnsi="仿宋_GB2312" w:eastAsia="仿宋_GB2312" w:cs="仿宋_GB2312"/>
                <w:sz w:val="28"/>
                <w:szCs w:val="28"/>
                <w:lang w:val="en-US" w:eastAsia="zh-CN"/>
              </w:rPr>
              <w:t>名</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称</w:t>
            </w:r>
          </w:p>
        </w:tc>
        <w:tc>
          <w:tcPr>
            <w:tcW w:w="2250" w:type="dxa"/>
            <w:gridSpan w:val="2"/>
            <w:noWrap w:val="0"/>
            <w:vAlign w:val="top"/>
          </w:tcPr>
          <w:p w14:paraId="7E04CF19">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招标范围</w:t>
            </w:r>
          </w:p>
        </w:tc>
        <w:tc>
          <w:tcPr>
            <w:tcW w:w="2288" w:type="dxa"/>
            <w:gridSpan w:val="2"/>
            <w:noWrap w:val="0"/>
            <w:vAlign w:val="top"/>
          </w:tcPr>
          <w:p w14:paraId="582BA7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招标组织形式</w:t>
            </w:r>
          </w:p>
        </w:tc>
        <w:tc>
          <w:tcPr>
            <w:tcW w:w="2362" w:type="dxa"/>
            <w:gridSpan w:val="2"/>
            <w:noWrap w:val="0"/>
            <w:vAlign w:val="top"/>
          </w:tcPr>
          <w:p w14:paraId="614747D4">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招标方式</w:t>
            </w:r>
          </w:p>
        </w:tc>
        <w:tc>
          <w:tcPr>
            <w:tcW w:w="1500" w:type="dxa"/>
            <w:vMerge w:val="restart"/>
            <w:noWrap w:val="0"/>
            <w:vAlign w:val="top"/>
          </w:tcPr>
          <w:p w14:paraId="6C962A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不采用招标方式</w:t>
            </w:r>
          </w:p>
        </w:tc>
      </w:tr>
      <w:tr w14:paraId="0310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637" w:type="dxa"/>
            <w:vMerge w:val="continue"/>
            <w:noWrap w:val="0"/>
            <w:vAlign w:val="top"/>
          </w:tcPr>
          <w:p w14:paraId="09627224">
            <w:pPr>
              <w:keepNext w:val="0"/>
              <w:keepLines w:val="0"/>
              <w:pageBreakBefore w:val="0"/>
              <w:widowControl/>
              <w:kinsoku/>
              <w:wordWrap/>
              <w:overflowPunct/>
              <w:topLinePunct w:val="0"/>
              <w:autoSpaceDE/>
              <w:autoSpaceDN/>
              <w:bidi w:val="0"/>
              <w:adjustRightInd/>
              <w:snapToGrid/>
              <w:spacing w:line="560" w:lineRule="exact"/>
              <w:ind w:firstLine="280" w:firstLineChars="100"/>
              <w:textAlignment w:val="auto"/>
              <w:rPr>
                <w:rFonts w:hint="default" w:ascii="仿宋_GB2312" w:hAnsi="仿宋_GB2312" w:eastAsia="仿宋_GB2312" w:cs="仿宋_GB2312"/>
                <w:sz w:val="28"/>
                <w:szCs w:val="28"/>
                <w:lang w:val="en-US" w:eastAsia="zh-CN"/>
              </w:rPr>
            </w:pPr>
          </w:p>
        </w:tc>
        <w:tc>
          <w:tcPr>
            <w:tcW w:w="1188" w:type="dxa"/>
            <w:noWrap w:val="0"/>
            <w:vAlign w:val="top"/>
          </w:tcPr>
          <w:p w14:paraId="6389C9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 部招 标</w:t>
            </w:r>
          </w:p>
        </w:tc>
        <w:tc>
          <w:tcPr>
            <w:tcW w:w="1062" w:type="dxa"/>
            <w:noWrap w:val="0"/>
            <w:vAlign w:val="top"/>
          </w:tcPr>
          <w:p w14:paraId="4E3991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 分招 标</w:t>
            </w:r>
          </w:p>
        </w:tc>
        <w:tc>
          <w:tcPr>
            <w:tcW w:w="1150" w:type="dxa"/>
            <w:noWrap w:val="0"/>
            <w:vAlign w:val="top"/>
          </w:tcPr>
          <w:p w14:paraId="5AA295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 行招 标</w:t>
            </w:r>
          </w:p>
        </w:tc>
        <w:tc>
          <w:tcPr>
            <w:tcW w:w="1138" w:type="dxa"/>
            <w:noWrap w:val="0"/>
            <w:vAlign w:val="top"/>
          </w:tcPr>
          <w:p w14:paraId="0CC1632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委 托招 标</w:t>
            </w:r>
          </w:p>
        </w:tc>
        <w:tc>
          <w:tcPr>
            <w:tcW w:w="1162" w:type="dxa"/>
            <w:noWrap w:val="0"/>
            <w:vAlign w:val="top"/>
          </w:tcPr>
          <w:p w14:paraId="418D7B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 开招 标</w:t>
            </w:r>
          </w:p>
        </w:tc>
        <w:tc>
          <w:tcPr>
            <w:tcW w:w="1200" w:type="dxa"/>
            <w:noWrap w:val="0"/>
            <w:vAlign w:val="top"/>
          </w:tcPr>
          <w:p w14:paraId="4DB4DB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邀 请招 标</w:t>
            </w:r>
          </w:p>
        </w:tc>
        <w:tc>
          <w:tcPr>
            <w:tcW w:w="1500" w:type="dxa"/>
            <w:vMerge w:val="continue"/>
            <w:noWrap w:val="0"/>
            <w:vAlign w:val="top"/>
          </w:tcPr>
          <w:p w14:paraId="5372AE8D">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r>
      <w:tr w14:paraId="2AC7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37" w:type="dxa"/>
            <w:noWrap w:val="0"/>
            <w:vAlign w:val="top"/>
          </w:tcPr>
          <w:p w14:paraId="3AA9738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工程设计</w:t>
            </w:r>
          </w:p>
        </w:tc>
        <w:tc>
          <w:tcPr>
            <w:tcW w:w="1188" w:type="dxa"/>
            <w:noWrap w:val="0"/>
            <w:vAlign w:val="top"/>
          </w:tcPr>
          <w:p w14:paraId="5457CAF5">
            <w:pPr>
              <w:keepNext w:val="0"/>
              <w:keepLines w:val="0"/>
              <w:pageBreakBefore w:val="0"/>
              <w:widowControl/>
              <w:tabs>
                <w:tab w:val="left" w:pos="555"/>
              </w:tabs>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062" w:type="dxa"/>
            <w:noWrap w:val="0"/>
            <w:vAlign w:val="top"/>
          </w:tcPr>
          <w:p w14:paraId="658A90CF">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50" w:type="dxa"/>
            <w:noWrap w:val="0"/>
            <w:vAlign w:val="top"/>
          </w:tcPr>
          <w:p w14:paraId="63B2C619">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38" w:type="dxa"/>
            <w:noWrap w:val="0"/>
            <w:vAlign w:val="top"/>
          </w:tcPr>
          <w:p w14:paraId="2939AA37">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c>
          <w:tcPr>
            <w:tcW w:w="1162" w:type="dxa"/>
            <w:noWrap w:val="0"/>
            <w:vAlign w:val="top"/>
          </w:tcPr>
          <w:p w14:paraId="536BB3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c>
          <w:tcPr>
            <w:tcW w:w="1200" w:type="dxa"/>
            <w:noWrap w:val="0"/>
            <w:vAlign w:val="top"/>
          </w:tcPr>
          <w:p w14:paraId="21849C1F">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500" w:type="dxa"/>
            <w:noWrap w:val="0"/>
            <w:vAlign w:val="top"/>
          </w:tcPr>
          <w:p w14:paraId="58FCBA4F">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r>
      <w:tr w14:paraId="4228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37" w:type="dxa"/>
            <w:noWrap w:val="0"/>
            <w:vAlign w:val="top"/>
          </w:tcPr>
          <w:p w14:paraId="44F579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工程勘察</w:t>
            </w:r>
          </w:p>
        </w:tc>
        <w:tc>
          <w:tcPr>
            <w:tcW w:w="1188" w:type="dxa"/>
            <w:noWrap w:val="0"/>
            <w:vAlign w:val="top"/>
          </w:tcPr>
          <w:p w14:paraId="782FDD11">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062" w:type="dxa"/>
            <w:noWrap w:val="0"/>
            <w:vAlign w:val="top"/>
          </w:tcPr>
          <w:p w14:paraId="4D3CA3ED">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50" w:type="dxa"/>
            <w:noWrap w:val="0"/>
            <w:vAlign w:val="top"/>
          </w:tcPr>
          <w:p w14:paraId="329BF39F">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38" w:type="dxa"/>
            <w:noWrap w:val="0"/>
            <w:vAlign w:val="top"/>
          </w:tcPr>
          <w:p w14:paraId="11EA09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162" w:type="dxa"/>
            <w:noWrap w:val="0"/>
            <w:vAlign w:val="top"/>
          </w:tcPr>
          <w:p w14:paraId="70E9DA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200" w:type="dxa"/>
            <w:noWrap w:val="0"/>
            <w:vAlign w:val="top"/>
          </w:tcPr>
          <w:p w14:paraId="2AEB2F3F">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500" w:type="dxa"/>
            <w:noWrap w:val="0"/>
            <w:vAlign w:val="top"/>
          </w:tcPr>
          <w:p w14:paraId="5F1B5B8D">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r>
      <w:tr w14:paraId="3096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37" w:type="dxa"/>
            <w:noWrap w:val="0"/>
            <w:vAlign w:val="top"/>
          </w:tcPr>
          <w:p w14:paraId="2FD3738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工程监理</w:t>
            </w:r>
          </w:p>
        </w:tc>
        <w:tc>
          <w:tcPr>
            <w:tcW w:w="1188" w:type="dxa"/>
            <w:noWrap w:val="0"/>
            <w:vAlign w:val="top"/>
          </w:tcPr>
          <w:p w14:paraId="3533CF49">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c>
          <w:tcPr>
            <w:tcW w:w="1062" w:type="dxa"/>
            <w:noWrap w:val="0"/>
            <w:vAlign w:val="top"/>
          </w:tcPr>
          <w:p w14:paraId="492E243C">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50" w:type="dxa"/>
            <w:noWrap w:val="0"/>
            <w:vAlign w:val="top"/>
          </w:tcPr>
          <w:p w14:paraId="20BA3B4F">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38" w:type="dxa"/>
            <w:noWrap w:val="0"/>
            <w:vAlign w:val="top"/>
          </w:tcPr>
          <w:p w14:paraId="69032D78">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c>
          <w:tcPr>
            <w:tcW w:w="1162" w:type="dxa"/>
            <w:noWrap w:val="0"/>
            <w:vAlign w:val="top"/>
          </w:tcPr>
          <w:p w14:paraId="702ED22B">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c>
          <w:tcPr>
            <w:tcW w:w="1200" w:type="dxa"/>
            <w:noWrap w:val="0"/>
            <w:vAlign w:val="top"/>
          </w:tcPr>
          <w:p w14:paraId="60B725BE">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500" w:type="dxa"/>
            <w:noWrap w:val="0"/>
            <w:vAlign w:val="top"/>
          </w:tcPr>
          <w:p w14:paraId="4D14408A">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r>
      <w:tr w14:paraId="1123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7" w:type="dxa"/>
            <w:noWrap w:val="0"/>
            <w:vAlign w:val="top"/>
          </w:tcPr>
          <w:p w14:paraId="28FD52F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建安工程</w:t>
            </w:r>
          </w:p>
        </w:tc>
        <w:tc>
          <w:tcPr>
            <w:tcW w:w="1188" w:type="dxa"/>
            <w:noWrap w:val="0"/>
            <w:vAlign w:val="top"/>
          </w:tcPr>
          <w:p w14:paraId="1BBDB55D">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c>
          <w:tcPr>
            <w:tcW w:w="1062" w:type="dxa"/>
            <w:noWrap w:val="0"/>
            <w:vAlign w:val="top"/>
          </w:tcPr>
          <w:p w14:paraId="2C768313">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50" w:type="dxa"/>
            <w:noWrap w:val="0"/>
            <w:vAlign w:val="top"/>
          </w:tcPr>
          <w:p w14:paraId="206AAF0D">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38" w:type="dxa"/>
            <w:noWrap w:val="0"/>
            <w:vAlign w:val="top"/>
          </w:tcPr>
          <w:p w14:paraId="57DAE556">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c>
          <w:tcPr>
            <w:tcW w:w="1162" w:type="dxa"/>
            <w:noWrap w:val="0"/>
            <w:vAlign w:val="top"/>
          </w:tcPr>
          <w:p w14:paraId="59C7F390">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c>
          <w:tcPr>
            <w:tcW w:w="1200" w:type="dxa"/>
            <w:noWrap w:val="0"/>
            <w:vAlign w:val="top"/>
          </w:tcPr>
          <w:p w14:paraId="6E21814F">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500" w:type="dxa"/>
            <w:noWrap w:val="0"/>
            <w:vAlign w:val="top"/>
          </w:tcPr>
          <w:p w14:paraId="6E9B4CAE">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r>
      <w:tr w14:paraId="1B5D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37" w:type="dxa"/>
            <w:noWrap w:val="0"/>
            <w:vAlign w:val="top"/>
          </w:tcPr>
          <w:p w14:paraId="5D17F35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设备购置</w:t>
            </w:r>
          </w:p>
        </w:tc>
        <w:tc>
          <w:tcPr>
            <w:tcW w:w="1188" w:type="dxa"/>
            <w:noWrap w:val="0"/>
            <w:vAlign w:val="top"/>
          </w:tcPr>
          <w:p w14:paraId="32B82CDF">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062" w:type="dxa"/>
            <w:noWrap w:val="0"/>
            <w:vAlign w:val="top"/>
          </w:tcPr>
          <w:p w14:paraId="28876840">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50" w:type="dxa"/>
            <w:noWrap w:val="0"/>
            <w:vAlign w:val="top"/>
          </w:tcPr>
          <w:p w14:paraId="0D397655">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38" w:type="dxa"/>
            <w:noWrap w:val="0"/>
            <w:vAlign w:val="top"/>
          </w:tcPr>
          <w:p w14:paraId="37C90E7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162" w:type="dxa"/>
            <w:noWrap w:val="0"/>
            <w:vAlign w:val="top"/>
          </w:tcPr>
          <w:p w14:paraId="6304F0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200" w:type="dxa"/>
            <w:noWrap w:val="0"/>
            <w:vAlign w:val="top"/>
          </w:tcPr>
          <w:p w14:paraId="24260063">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500" w:type="dxa"/>
            <w:noWrap w:val="0"/>
            <w:vAlign w:val="top"/>
          </w:tcPr>
          <w:p w14:paraId="1C69A39D">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r>
      <w:tr w14:paraId="0CDF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37" w:type="dxa"/>
            <w:noWrap w:val="0"/>
            <w:vAlign w:val="top"/>
          </w:tcPr>
          <w:p w14:paraId="7DCE476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    它</w:t>
            </w:r>
          </w:p>
        </w:tc>
        <w:tc>
          <w:tcPr>
            <w:tcW w:w="1188" w:type="dxa"/>
            <w:noWrap w:val="0"/>
            <w:vAlign w:val="top"/>
          </w:tcPr>
          <w:p w14:paraId="39AA2F59">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062" w:type="dxa"/>
            <w:noWrap w:val="0"/>
            <w:vAlign w:val="top"/>
          </w:tcPr>
          <w:p w14:paraId="5C4E0D51">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50" w:type="dxa"/>
            <w:noWrap w:val="0"/>
            <w:vAlign w:val="top"/>
          </w:tcPr>
          <w:p w14:paraId="3CE2ACD7">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38" w:type="dxa"/>
            <w:noWrap w:val="0"/>
            <w:vAlign w:val="top"/>
          </w:tcPr>
          <w:p w14:paraId="06116C42">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162" w:type="dxa"/>
            <w:noWrap w:val="0"/>
            <w:vAlign w:val="top"/>
          </w:tcPr>
          <w:p w14:paraId="0BB4743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p>
        </w:tc>
        <w:tc>
          <w:tcPr>
            <w:tcW w:w="1200" w:type="dxa"/>
            <w:noWrap w:val="0"/>
            <w:vAlign w:val="top"/>
          </w:tcPr>
          <w:p w14:paraId="3B524258">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auto"/>
              <w:rPr>
                <w:rFonts w:hint="default" w:ascii="仿宋_GB2312" w:hAnsi="仿宋_GB2312" w:eastAsia="仿宋_GB2312" w:cs="仿宋_GB2312"/>
                <w:sz w:val="28"/>
                <w:szCs w:val="28"/>
                <w:lang w:val="en-US" w:eastAsia="zh-CN"/>
              </w:rPr>
            </w:pPr>
          </w:p>
        </w:tc>
        <w:tc>
          <w:tcPr>
            <w:tcW w:w="1500" w:type="dxa"/>
            <w:noWrap w:val="0"/>
            <w:vAlign w:val="top"/>
          </w:tcPr>
          <w:p w14:paraId="39A45678">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p>
        </w:tc>
      </w:tr>
      <w:tr w14:paraId="5E11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37" w:type="dxa"/>
            <w:gridSpan w:val="8"/>
            <w:noWrap w:val="0"/>
            <w:vAlign w:val="top"/>
          </w:tcPr>
          <w:p w14:paraId="369AFEC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审批部门核准意见说明：</w:t>
            </w:r>
          </w:p>
          <w:p w14:paraId="0E170350">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根据《必须招标的工程项目规定》（国家发展改革委2018年第16号令）规定，属于关系社会公共利益、公众安全的基础设施和公用事业项目，施工单项合同估算价在400万元人民币以上的；重要设备、材料等货物的采购，单项合同估算价200万元人民币以上的；勘察、设计、监理等服务的采购，单项合同估算价在100万元人民币以上的，必须进行招标。本项目属于关系社会公共利益、公共安全的基础设施和公共事业项目，其中土建工程、设备购置达到上述相关标准，必须进行招标。</w:t>
            </w:r>
          </w:p>
          <w:p w14:paraId="7480FA95">
            <w:pPr>
              <w:keepNext w:val="0"/>
              <w:keepLines w:val="0"/>
              <w:pageBreakBefore w:val="0"/>
              <w:widowControl/>
              <w:kinsoku/>
              <w:wordWrap/>
              <w:overflowPunct/>
              <w:topLinePunct w:val="0"/>
              <w:autoSpaceDE/>
              <w:autoSpaceDN/>
              <w:bidi w:val="0"/>
              <w:adjustRightInd/>
              <w:snapToGrid/>
              <w:spacing w:line="560" w:lineRule="exact"/>
              <w:ind w:left="5267" w:leftChars="2508" w:firstLine="4380" w:firstLineChars="1500"/>
              <w:textAlignment w:val="auto"/>
              <w:rPr>
                <w:rFonts w:hint="default" w:ascii="仿宋_GB2312" w:hAnsi="宋体" w:eastAsia="仿宋_GB2312" w:cs="宋体"/>
                <w:spacing w:val="6"/>
                <w:kern w:val="0"/>
                <w:sz w:val="28"/>
                <w:szCs w:val="28"/>
                <w:lang w:val="en-US" w:eastAsia="zh-CN"/>
              </w:rPr>
            </w:pPr>
            <w:r>
              <w:rPr>
                <w:rFonts w:hint="eastAsia" w:ascii="仿宋_GB2312" w:hAnsi="宋体" w:eastAsia="仿宋_GB2312" w:cs="宋体"/>
                <w:spacing w:val="6"/>
                <w:kern w:val="0"/>
                <w:sz w:val="28"/>
                <w:szCs w:val="28"/>
                <w:lang w:val="en-US" w:eastAsia="zh-CN"/>
              </w:rPr>
              <w:t xml:space="preserve">  </w:t>
            </w:r>
          </w:p>
          <w:p w14:paraId="60C19ED8">
            <w:pPr>
              <w:keepNext w:val="0"/>
              <w:keepLines w:val="0"/>
              <w:pageBreakBefore w:val="0"/>
              <w:widowControl w:val="0"/>
              <w:kinsoku/>
              <w:wordWrap/>
              <w:overflowPunct/>
              <w:topLinePunct w:val="0"/>
              <w:autoSpaceDE/>
              <w:autoSpaceDN/>
              <w:bidi w:val="0"/>
              <w:adjustRightInd/>
              <w:snapToGrid/>
              <w:spacing w:line="560" w:lineRule="exact"/>
              <w:ind w:left="5426" w:leftChars="2584" w:firstLine="3984" w:firstLineChars="1200"/>
              <w:textAlignment w:val="auto"/>
              <w:rPr>
                <w:rFonts w:hint="eastAsia" w:ascii="仿宋_GB2312" w:hAnsi="宋体" w:eastAsia="仿宋_GB2312" w:cs="宋体"/>
                <w:spacing w:val="6"/>
                <w:kern w:val="0"/>
                <w:sz w:val="32"/>
                <w:szCs w:val="32"/>
                <w:lang w:val="en-US" w:eastAsia="zh-CN"/>
              </w:rPr>
            </w:pPr>
            <w:r>
              <w:rPr>
                <w:rFonts w:hint="eastAsia" w:ascii="仿宋_GB2312" w:hAnsi="宋体" w:eastAsia="仿宋_GB2312" w:cs="宋体"/>
                <w:spacing w:val="6"/>
                <w:kern w:val="0"/>
                <w:sz w:val="32"/>
                <w:szCs w:val="32"/>
                <w:lang w:val="en-US" w:eastAsia="zh-CN"/>
              </w:rPr>
              <w:t xml:space="preserve"> </w:t>
            </w:r>
            <w:r>
              <w:rPr>
                <w:rFonts w:hint="eastAsia" w:ascii="仿宋_GB2312" w:hAnsi="仿宋_GB2312" w:eastAsia="仿宋_GB2312" w:cs="仿宋_GB2312"/>
                <w:sz w:val="28"/>
                <w:szCs w:val="28"/>
                <w:lang w:val="en-US" w:eastAsia="zh-CN"/>
              </w:rPr>
              <w:t>广西凭祥综合保税区管理委员会</w:t>
            </w:r>
          </w:p>
          <w:p w14:paraId="39BE996B">
            <w:pPr>
              <w:keepNext w:val="0"/>
              <w:keepLines w:val="0"/>
              <w:pageBreakBefore w:val="0"/>
              <w:widowControl/>
              <w:kinsoku/>
              <w:wordWrap/>
              <w:overflowPunct/>
              <w:topLinePunct w:val="0"/>
              <w:autoSpaceDE/>
              <w:autoSpaceDN/>
              <w:bidi w:val="0"/>
              <w:adjustRightInd/>
              <w:snapToGrid/>
              <w:spacing w:line="560" w:lineRule="exact"/>
              <w:ind w:firstLine="292" w:firstLineChars="1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宋体"/>
                <w:spacing w:val="6"/>
                <w:kern w:val="0"/>
                <w:sz w:val="28"/>
                <w:szCs w:val="28"/>
                <w:lang w:val="en-US" w:eastAsia="zh-CN"/>
              </w:rPr>
              <w:t xml:space="preserve">                                       2025年11月10日       </w:t>
            </w:r>
            <w:r>
              <w:rPr>
                <w:rFonts w:hint="eastAsia" w:ascii="仿宋_GB2312" w:hAnsi="宋体" w:eastAsia="仿宋_GB2312" w:cs="宋体"/>
                <w:spacing w:val="6"/>
                <w:kern w:val="0"/>
                <w:sz w:val="32"/>
                <w:szCs w:val="32"/>
                <w:lang w:val="en-US" w:eastAsia="zh-CN"/>
              </w:rPr>
              <w:t xml:space="preserve">                     </w:t>
            </w:r>
          </w:p>
        </w:tc>
      </w:tr>
    </w:tbl>
    <w:p w14:paraId="5C664B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E735EB7-E8B6-4386-960D-0F5FC582FD2F}"/>
  </w:font>
  <w:font w:name="仿宋_GB2312">
    <w:panose1 w:val="02010609030101010101"/>
    <w:charset w:val="86"/>
    <w:family w:val="modern"/>
    <w:pitch w:val="default"/>
    <w:sig w:usb0="00000001" w:usb1="080E0000" w:usb2="00000000" w:usb3="00000000" w:csb0="00040000" w:csb1="00000000"/>
    <w:embedRegular r:id="rId2" w:fontKey="{2E10E90D-CD43-4D4C-A515-A7415DB3C1C4}"/>
  </w:font>
  <w:font w:name="方正小标宋简体">
    <w:panose1 w:val="02000000000000000000"/>
    <w:charset w:val="86"/>
    <w:family w:val="script"/>
    <w:pitch w:val="default"/>
    <w:sig w:usb0="A00002BF" w:usb1="184F6CFA" w:usb2="00000012" w:usb3="00000000" w:csb0="00040001" w:csb1="00000000"/>
    <w:embedRegular r:id="rId3" w:fontKey="{F3D8C544-AB4E-4E7E-8004-1A902AFFB7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2074B"/>
    <w:rsid w:val="4BF20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2025-11-13T02:52:00Z</dcterms:created>
  <dc:creator>南疆小保</dc:creator>
  <cp:lastModifiedBy>南疆小保</cp:lastModifiedBy>
  <dcterms:modified xsi:type="dcterms:W3CDTF">2025-11-13T02:53:37Z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D4E75C25866E45C7B855109C92D3D4F1_11</vt:lpwstr>
  </property>
  <property fmtid="{D5CDD505-2E9C-101B-9397-08002B2CF9AE}" pid="4" name="KSOTemplateDocerSaveRecord">
    <vt:lpwstr>eyJoZGlkIjoiOTk1NWVkYTA1OWE0NmQ4MWE0OTE5MzBkZTkwYTJmNjQiLCJ1c2VySWQiOiIxNzI3MzM0NjgzIn0=</vt:lpwstr>
  </property>
</Properties>
</file>