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D5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2C402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025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中国—东盟AI公共安全产业园项目招投标核准</w:t>
      </w:r>
    </w:p>
    <w:p w14:paraId="30F92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意见表</w:t>
      </w:r>
    </w:p>
    <w:tbl>
      <w:tblPr>
        <w:tblStyle w:val="4"/>
        <w:tblW w:w="10037" w:type="dxa"/>
        <w:tblInd w:w="-5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188"/>
        <w:gridCol w:w="1062"/>
        <w:gridCol w:w="1150"/>
        <w:gridCol w:w="1138"/>
        <w:gridCol w:w="1162"/>
        <w:gridCol w:w="1200"/>
        <w:gridCol w:w="1500"/>
      </w:tblGrid>
      <w:tr w14:paraId="7E8A0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7" w:type="dxa"/>
            <w:vMerge w:val="restart"/>
            <w:noWrap w:val="0"/>
            <w:vAlign w:val="top"/>
          </w:tcPr>
          <w:p w14:paraId="17015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称</w:t>
            </w:r>
          </w:p>
        </w:tc>
        <w:tc>
          <w:tcPr>
            <w:tcW w:w="2250" w:type="dxa"/>
            <w:gridSpan w:val="2"/>
            <w:noWrap w:val="0"/>
            <w:vAlign w:val="top"/>
          </w:tcPr>
          <w:p w14:paraId="4D8D4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招标范围</w:t>
            </w:r>
          </w:p>
        </w:tc>
        <w:tc>
          <w:tcPr>
            <w:tcW w:w="2288" w:type="dxa"/>
            <w:gridSpan w:val="2"/>
            <w:noWrap w:val="0"/>
            <w:vAlign w:val="top"/>
          </w:tcPr>
          <w:p w14:paraId="3F93F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招标组织形式</w:t>
            </w:r>
          </w:p>
        </w:tc>
        <w:tc>
          <w:tcPr>
            <w:tcW w:w="2362" w:type="dxa"/>
            <w:gridSpan w:val="2"/>
            <w:noWrap w:val="0"/>
            <w:vAlign w:val="top"/>
          </w:tcPr>
          <w:p w14:paraId="300FE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招标方式</w:t>
            </w:r>
          </w:p>
        </w:tc>
        <w:tc>
          <w:tcPr>
            <w:tcW w:w="1500" w:type="dxa"/>
            <w:vMerge w:val="restart"/>
            <w:noWrap w:val="0"/>
            <w:vAlign w:val="top"/>
          </w:tcPr>
          <w:p w14:paraId="0F2C8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不采用招标方式</w:t>
            </w:r>
          </w:p>
        </w:tc>
      </w:tr>
      <w:tr w14:paraId="17457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637" w:type="dxa"/>
            <w:vMerge w:val="continue"/>
            <w:noWrap w:val="0"/>
            <w:vAlign w:val="top"/>
          </w:tcPr>
          <w:p w14:paraId="0D7B9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top"/>
          </w:tcPr>
          <w:p w14:paraId="37540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全 部招 标</w:t>
            </w:r>
          </w:p>
        </w:tc>
        <w:tc>
          <w:tcPr>
            <w:tcW w:w="1062" w:type="dxa"/>
            <w:noWrap w:val="0"/>
            <w:vAlign w:val="top"/>
          </w:tcPr>
          <w:p w14:paraId="05255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部 分招 标</w:t>
            </w:r>
          </w:p>
        </w:tc>
        <w:tc>
          <w:tcPr>
            <w:tcW w:w="1150" w:type="dxa"/>
            <w:noWrap w:val="0"/>
            <w:vAlign w:val="top"/>
          </w:tcPr>
          <w:p w14:paraId="4CCC1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自 行招 标</w:t>
            </w:r>
          </w:p>
        </w:tc>
        <w:tc>
          <w:tcPr>
            <w:tcW w:w="1138" w:type="dxa"/>
            <w:noWrap w:val="0"/>
            <w:vAlign w:val="top"/>
          </w:tcPr>
          <w:p w14:paraId="03E40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委 托招 标</w:t>
            </w:r>
          </w:p>
        </w:tc>
        <w:tc>
          <w:tcPr>
            <w:tcW w:w="1162" w:type="dxa"/>
            <w:noWrap w:val="0"/>
            <w:vAlign w:val="top"/>
          </w:tcPr>
          <w:p w14:paraId="1A1AD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 开招 标</w:t>
            </w:r>
          </w:p>
        </w:tc>
        <w:tc>
          <w:tcPr>
            <w:tcW w:w="1200" w:type="dxa"/>
            <w:noWrap w:val="0"/>
            <w:vAlign w:val="top"/>
          </w:tcPr>
          <w:p w14:paraId="308D2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邀 请</w:t>
            </w:r>
          </w:p>
          <w:p w14:paraId="660A5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招 标</w:t>
            </w:r>
          </w:p>
        </w:tc>
        <w:tc>
          <w:tcPr>
            <w:tcW w:w="1500" w:type="dxa"/>
            <w:vMerge w:val="continue"/>
            <w:noWrap w:val="0"/>
            <w:vAlign w:val="top"/>
          </w:tcPr>
          <w:p w14:paraId="14E21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0A3D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37" w:type="dxa"/>
            <w:noWrap w:val="0"/>
            <w:vAlign w:val="top"/>
          </w:tcPr>
          <w:p w14:paraId="53C43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工程设计</w:t>
            </w:r>
          </w:p>
        </w:tc>
        <w:tc>
          <w:tcPr>
            <w:tcW w:w="1188" w:type="dxa"/>
            <w:noWrap w:val="0"/>
            <w:vAlign w:val="top"/>
          </w:tcPr>
          <w:p w14:paraId="694378C0">
            <w:pPr>
              <w:keepNext w:val="0"/>
              <w:keepLines w:val="0"/>
              <w:pageBreakBefore w:val="0"/>
              <w:widowControl/>
              <w:tabs>
                <w:tab w:val="left" w:pos="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1062" w:type="dxa"/>
            <w:noWrap w:val="0"/>
            <w:vAlign w:val="top"/>
          </w:tcPr>
          <w:p w14:paraId="06E9E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top"/>
          </w:tcPr>
          <w:p w14:paraId="6F740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top"/>
          </w:tcPr>
          <w:p w14:paraId="49A0B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1162" w:type="dxa"/>
            <w:noWrap w:val="0"/>
            <w:vAlign w:val="top"/>
          </w:tcPr>
          <w:p w14:paraId="6A698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1200" w:type="dxa"/>
            <w:noWrap w:val="0"/>
            <w:vAlign w:val="top"/>
          </w:tcPr>
          <w:p w14:paraId="7FDBE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1D673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679E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37" w:type="dxa"/>
            <w:noWrap w:val="0"/>
            <w:vAlign w:val="top"/>
          </w:tcPr>
          <w:p w14:paraId="0D7BE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工程勘察</w:t>
            </w:r>
          </w:p>
        </w:tc>
        <w:tc>
          <w:tcPr>
            <w:tcW w:w="1188" w:type="dxa"/>
            <w:noWrap w:val="0"/>
            <w:vAlign w:val="top"/>
          </w:tcPr>
          <w:p w14:paraId="1A45C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1062" w:type="dxa"/>
            <w:noWrap w:val="0"/>
            <w:vAlign w:val="top"/>
          </w:tcPr>
          <w:p w14:paraId="4FC2A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top"/>
          </w:tcPr>
          <w:p w14:paraId="6897F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top"/>
          </w:tcPr>
          <w:p w14:paraId="425C1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1162" w:type="dxa"/>
            <w:noWrap w:val="0"/>
            <w:vAlign w:val="top"/>
          </w:tcPr>
          <w:p w14:paraId="3DCBB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1200" w:type="dxa"/>
            <w:noWrap w:val="0"/>
            <w:vAlign w:val="top"/>
          </w:tcPr>
          <w:p w14:paraId="52E21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01050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C365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37" w:type="dxa"/>
            <w:noWrap w:val="0"/>
            <w:vAlign w:val="top"/>
          </w:tcPr>
          <w:p w14:paraId="0F150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工程监理</w:t>
            </w:r>
          </w:p>
        </w:tc>
        <w:tc>
          <w:tcPr>
            <w:tcW w:w="1188" w:type="dxa"/>
            <w:noWrap w:val="0"/>
            <w:vAlign w:val="top"/>
          </w:tcPr>
          <w:p w14:paraId="76C00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1062" w:type="dxa"/>
            <w:noWrap w:val="0"/>
            <w:vAlign w:val="top"/>
          </w:tcPr>
          <w:p w14:paraId="651D3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top"/>
          </w:tcPr>
          <w:p w14:paraId="49567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top"/>
          </w:tcPr>
          <w:p w14:paraId="05DA1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1162" w:type="dxa"/>
            <w:noWrap w:val="0"/>
            <w:vAlign w:val="top"/>
          </w:tcPr>
          <w:p w14:paraId="152B8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1200" w:type="dxa"/>
            <w:noWrap w:val="0"/>
            <w:vAlign w:val="top"/>
          </w:tcPr>
          <w:p w14:paraId="0895F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0A69E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F457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7" w:type="dxa"/>
            <w:noWrap w:val="0"/>
            <w:vAlign w:val="top"/>
          </w:tcPr>
          <w:p w14:paraId="0790B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建安工程</w:t>
            </w:r>
          </w:p>
        </w:tc>
        <w:tc>
          <w:tcPr>
            <w:tcW w:w="1188" w:type="dxa"/>
            <w:noWrap w:val="0"/>
            <w:vAlign w:val="top"/>
          </w:tcPr>
          <w:p w14:paraId="6831E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1062" w:type="dxa"/>
            <w:noWrap w:val="0"/>
            <w:vAlign w:val="top"/>
          </w:tcPr>
          <w:p w14:paraId="0CC16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top"/>
          </w:tcPr>
          <w:p w14:paraId="106C2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top"/>
          </w:tcPr>
          <w:p w14:paraId="3FD36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1162" w:type="dxa"/>
            <w:noWrap w:val="0"/>
            <w:vAlign w:val="top"/>
          </w:tcPr>
          <w:p w14:paraId="36C60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1200" w:type="dxa"/>
            <w:noWrap w:val="0"/>
            <w:vAlign w:val="top"/>
          </w:tcPr>
          <w:p w14:paraId="088D6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5FCEC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418F2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637" w:type="dxa"/>
            <w:noWrap w:val="0"/>
            <w:vAlign w:val="top"/>
          </w:tcPr>
          <w:p w14:paraId="11DE1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    它</w:t>
            </w:r>
          </w:p>
        </w:tc>
        <w:tc>
          <w:tcPr>
            <w:tcW w:w="1188" w:type="dxa"/>
            <w:noWrap w:val="0"/>
            <w:vAlign w:val="top"/>
          </w:tcPr>
          <w:p w14:paraId="6FDEF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top"/>
          </w:tcPr>
          <w:p w14:paraId="4ADFF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top"/>
          </w:tcPr>
          <w:p w14:paraId="65B13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top"/>
          </w:tcPr>
          <w:p w14:paraId="0BB54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62" w:type="dxa"/>
            <w:noWrap w:val="0"/>
            <w:vAlign w:val="top"/>
          </w:tcPr>
          <w:p w14:paraId="423DF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 w14:paraId="5DCCE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1F8E7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√</w:t>
            </w:r>
          </w:p>
        </w:tc>
      </w:tr>
      <w:tr w14:paraId="744C2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0" w:hRule="atLeast"/>
        </w:trPr>
        <w:tc>
          <w:tcPr>
            <w:tcW w:w="10037" w:type="dxa"/>
            <w:gridSpan w:val="8"/>
            <w:noWrap w:val="0"/>
            <w:vAlign w:val="top"/>
          </w:tcPr>
          <w:p w14:paraId="6BBE9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审批部门核准意见说明：</w:t>
            </w:r>
          </w:p>
          <w:p w14:paraId="1C322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根据《必须招标的工程项目规定》（国家发展改革委2018年第16号令）规定，属于关系社会公共利益、公众安全的基础设施和公用事业项目，施工单项合同估算价在400万元人民币以上的；重要设备、材料等货物的采购，单项合同估算价200万元人民币以上的；勘察、设计、监理等服务的采购，单项合同估算价在100万元人民币以上的，必须进行招标。本项目属于关系社会公共利益、公共安全的基础设施和公共事业项目，其中土建工程、设备购置达到上述相关标准，必须进行招标。</w:t>
            </w:r>
          </w:p>
          <w:p w14:paraId="3E263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5267" w:leftChars="2508" w:firstLine="4380" w:firstLineChars="1500"/>
              <w:textAlignment w:val="auto"/>
              <w:rPr>
                <w:rFonts w:hint="default" w:ascii="仿宋_GB2312" w:hAnsi="宋体" w:eastAsia="仿宋_GB2312" w:cs="宋体"/>
                <w:spacing w:val="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6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 w14:paraId="79456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5426" w:leftChars="2584" w:firstLine="3984" w:firstLineChars="1200"/>
              <w:textAlignment w:val="auto"/>
              <w:rPr>
                <w:rFonts w:hint="eastAsia" w:ascii="仿宋_GB2312" w:hAnsi="宋体" w:eastAsia="仿宋_GB2312" w:cs="宋体"/>
                <w:spacing w:val="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6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广西凭祥综合保税区管理委员会</w:t>
            </w:r>
          </w:p>
          <w:p w14:paraId="4A094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92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6"/>
                <w:kern w:val="0"/>
                <w:sz w:val="28"/>
                <w:szCs w:val="28"/>
                <w:lang w:val="en-US" w:eastAsia="zh-CN"/>
              </w:rPr>
              <w:t xml:space="preserve">                                       2025年11月18日       </w:t>
            </w:r>
            <w:r>
              <w:rPr>
                <w:rFonts w:hint="eastAsia" w:ascii="仿宋_GB2312" w:hAnsi="宋体" w:eastAsia="仿宋_GB2312" w:cs="宋体"/>
                <w:spacing w:val="6"/>
                <w:kern w:val="0"/>
                <w:sz w:val="32"/>
                <w:szCs w:val="32"/>
                <w:lang w:val="en-US" w:eastAsia="zh-CN"/>
              </w:rPr>
              <w:t xml:space="preserve">                     </w:t>
            </w:r>
          </w:p>
        </w:tc>
      </w:tr>
    </w:tbl>
    <w:p w14:paraId="738B1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jc w:val="left"/>
        <w:textAlignment w:val="auto"/>
        <w:rPr>
          <w:rFonts w:hint="default"/>
          <w:lang w:val="en-US" w:eastAsia="zh-CN"/>
        </w:rPr>
      </w:pPr>
    </w:p>
    <w:p w14:paraId="69830C71">
      <w:bookmarkStart w:id="0" w:name="_GoBack"/>
      <w:bookmarkEnd w:id="0"/>
    </w:p>
    <w:sectPr>
      <w:pgSz w:w="11906" w:h="16838"/>
      <w:pgMar w:top="1134" w:right="1800" w:bottom="1134" w:left="170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2668B33-AAF3-4177-A7AA-BFD79D29751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599AD9A-9125-4528-86E1-340E345376F3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F0DCD2D4-07D6-46A4-8B73-A7BF675538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C2D18"/>
    <w:rsid w:val="616C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2025-11-26T11:45:00Z</dcterms:created>
  <dc:creator>南疆小保</dc:creator>
  <cp:lastModifiedBy>南疆小保</cp:lastModifiedBy>
  <dcterms:modified xsi:type="dcterms:W3CDTF">2025-11-26T11:46:55Z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85D7EADE5D244496ADA6D55B747F6073_11</vt:lpwstr>
  </property>
  <property fmtid="{D5CDD505-2E9C-101B-9397-08002B2CF9AE}" pid="4" name="KSOTemplateDocerSaveRecord">
    <vt:lpwstr>eyJoZGlkIjoiOTk1NWVkYTA1OWE0NmQ4MWE0OTE5MzBkZTkwYTJmNjQiLCJ1c2VySWQiOiIxNzI3MzM0NjgzIn0=</vt:lpwstr>
  </property>
</Properties>
</file>